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bookmarkStart w:id="0" w:name="_GoBack"/>
      <w:r w:rsidRPr="002E53BF">
        <w:rPr>
          <w:rFonts w:hint="eastAsia"/>
          <w:b/>
          <w:sz w:val="28"/>
        </w:rPr>
        <w:t>「畫說北港車頭」繪畫競賽</w:t>
      </w:r>
      <w:r w:rsidR="00F7648A" w:rsidRPr="002E53BF">
        <w:rPr>
          <w:rFonts w:hint="eastAsia"/>
          <w:b/>
          <w:sz w:val="28"/>
        </w:rPr>
        <w:t>活動</w:t>
      </w:r>
    </w:p>
    <w:p w:rsidR="0069208C" w:rsidRPr="00D25390" w:rsidRDefault="00A271FE" w:rsidP="002E53BF">
      <w:pPr>
        <w:jc w:val="center"/>
      </w:pPr>
      <w:r w:rsidRPr="002E53BF">
        <w:rPr>
          <w:rFonts w:hint="eastAsia"/>
          <w:b/>
        </w:rPr>
        <w:t>報名簡章</w:t>
      </w:r>
    </w:p>
    <w:bookmarkEnd w:id="0"/>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lastRenderedPageBreak/>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767"/>
        <w:gridCol w:w="4669"/>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4"/>
        <w:gridCol w:w="1068"/>
        <w:gridCol w:w="1068"/>
        <w:gridCol w:w="1068"/>
        <w:gridCol w:w="1068"/>
        <w:gridCol w:w="106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E4" w:rsidRDefault="00FE3EE4" w:rsidP="00FB0839">
      <w:r>
        <w:separator/>
      </w:r>
    </w:p>
  </w:endnote>
  <w:endnote w:type="continuationSeparator" w:id="0">
    <w:p w:rsidR="00FE3EE4" w:rsidRDefault="00FE3EE4"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panose1 w:val="03000509000000000000"/>
    <w:charset w:val="88"/>
    <w:family w:val="script"/>
    <w:pitch w:val="fixed"/>
    <w:sig w:usb0="80000001" w:usb1="28091800" w:usb2="00000016" w:usb3="00000000" w:csb0="00100000" w:csb1="00000000"/>
  </w:font>
  <w:font w:name="華康新特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華康中特圓體">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panose1 w:val="030009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E4" w:rsidRDefault="00FE3EE4" w:rsidP="00FB0839">
      <w:r>
        <w:separator/>
      </w:r>
    </w:p>
  </w:footnote>
  <w:footnote w:type="continuationSeparator" w:id="0">
    <w:p w:rsidR="00FE3EE4" w:rsidRDefault="00FE3EE4"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269F"/>
    <w:rsid w:val="003C740F"/>
    <w:rsid w:val="00463182"/>
    <w:rsid w:val="004655B1"/>
    <w:rsid w:val="004A4DC8"/>
    <w:rsid w:val="004B3019"/>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907CB"/>
    <w:rsid w:val="00891582"/>
    <w:rsid w:val="00894AD1"/>
    <w:rsid w:val="008C789E"/>
    <w:rsid w:val="0097251C"/>
    <w:rsid w:val="009F09EA"/>
    <w:rsid w:val="00A10BDA"/>
    <w:rsid w:val="00A271FE"/>
    <w:rsid w:val="00A6371D"/>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 w:val="00FE3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7080E-BF22-47DB-978E-4F542D18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D962-91B2-4765-9496-94AE6069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文教基金會 研揚</cp:lastModifiedBy>
  <cp:revision>2</cp:revision>
  <cp:lastPrinted>2018-11-02T01:26:00Z</cp:lastPrinted>
  <dcterms:created xsi:type="dcterms:W3CDTF">2018-11-12T06:48:00Z</dcterms:created>
  <dcterms:modified xsi:type="dcterms:W3CDTF">2018-11-12T06:48:00Z</dcterms:modified>
</cp:coreProperties>
</file>